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2021年春季如皋市教师招聘拟签约人员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名单公布（二）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根据《2021年春季如皋市部分学校公开招聘教师公告》及《2021年春季如皋市部分学校公开招聘教师补充公告》，现将第二批（岗位代码15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30职教专业课）拟签约人员名单予以公布（附后），并就就业协议签订及体检有关事项通知如下：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一、就业协议签订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1．时间：2021年3月25日下午，2:30前报到。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2．地点：如皋经济技术开发区实验小学（南大门进）。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3．有关要求：拟聘人员签订就业协议时，须由本人将下列材料原件现场提交如皋市教育局，如不能按时提供规定材料，则不予聘用。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（1）2021年应届毕业生需提交就业推荐表、就业协议书原件。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（2）非2021年应届毕业生需提交毕业证书、学位证书、教师资格证书原件（按规定可暂未取得教师资格证者除外）；以应届生身份报考的2019年、2020年毕业生还需提交就业推荐表。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二、体检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1．对象：在规定时间与如皋市教育局签订《2021年春季如皋市教师招聘就业协议书》的人员。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2．时间：2021年3月26日上午，7:15前报到。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3．地点：如皋经济技术开发区实验小学（南大门进）。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4．有关要求：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（1）请体检人员于体检当天准时到指定地点集中，带身份证、体检表（附后，自行下载，正反打印，填好个人基本信息，贴上照片）、体检费现金100元。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（2）请考生将本人的体检号写在体检表的右上角。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（3）请各位考生调整好身体状态，体检前空腹。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附件：1．2021年春季如皋市教师招聘拟签约人员名单（二）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2．中小学教师招聘入围体检人员体格检查表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如皋市教育局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2021年3月23日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  <w:t>2021年春季如皋市教师招聘拟签约人员名单（二）</w:t>
      </w: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-40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978"/>
        <w:gridCol w:w="1934"/>
        <w:gridCol w:w="1055"/>
        <w:gridCol w:w="1028"/>
        <w:gridCol w:w="102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准考证号或</w:t>
            </w:r>
          </w:p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资格复审号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339"/>
              </w:tabs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学段学科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总成绩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签约及</w:t>
            </w:r>
          </w:p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体检号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1169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机电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陈步彬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62.8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1172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机电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周晶晶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61.4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1208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汽修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秦兴培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83.25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1241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旅游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张晓宇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85.45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1261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艺术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杨婧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82.4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379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财会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秦娟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63.58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1343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化工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宗慧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82.7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381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1379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园林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蔡赛南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.00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382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42300817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计算机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陈志宏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76.02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383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42401011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电气控制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肖杰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79.98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42501212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夏慧敏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73.22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42601502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农业（种植方向）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任艳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82.32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42701616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化工（工艺方向）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李红燕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79.82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387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42801809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服装设计与制作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康慧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79.26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42901909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建筑施工技术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马海琴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68.77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389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7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43002004</w:t>
            </w:r>
          </w:p>
        </w:tc>
        <w:tc>
          <w:tcPr>
            <w:tcW w:w="97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9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汽修</w:t>
            </w:r>
          </w:p>
        </w:tc>
        <w:tc>
          <w:tcPr>
            <w:tcW w:w="105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吴田力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77.53</w:t>
            </w:r>
          </w:p>
        </w:tc>
        <w:tc>
          <w:tcPr>
            <w:tcW w:w="1028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0" w:lineRule="exact"/>
        <w:jc w:val="center"/>
        <w:rPr>
          <w:rFonts w:hint="eastAsia" w:ascii="宋体" w:hAnsi="宋体" w:eastAsia="宋体" w:cs="Times New Roman"/>
          <w:b/>
          <w:snapToGrid w:val="0"/>
          <w:color w:val="000000"/>
          <w:kern w:val="0"/>
          <w:sz w:val="36"/>
          <w:szCs w:val="36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中小学</w:t>
      </w:r>
      <w:r>
        <w:rPr>
          <w:rFonts w:ascii="宋体" w:hAnsi="宋体"/>
          <w:b/>
          <w:bCs/>
          <w:sz w:val="44"/>
          <w:szCs w:val="44"/>
        </w:rPr>
        <w:t>教师</w:t>
      </w:r>
      <w:r>
        <w:rPr>
          <w:rFonts w:hint="eastAsia" w:ascii="宋体" w:hAnsi="宋体"/>
          <w:b/>
          <w:bCs/>
          <w:sz w:val="44"/>
          <w:szCs w:val="44"/>
        </w:rPr>
        <w:t>招聘入围体检人员</w:t>
      </w:r>
      <w:r>
        <w:rPr>
          <w:rFonts w:ascii="宋体" w:hAnsi="宋体"/>
          <w:b/>
          <w:bCs/>
          <w:sz w:val="44"/>
          <w:szCs w:val="44"/>
        </w:rPr>
        <w:t>体格检查表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left"/>
        <w:rPr>
          <w:rFonts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 如皋  </w:t>
      </w:r>
      <w:r>
        <w:rPr>
          <w:rFonts w:hint="eastAsia" w:ascii="宋体" w:hAnsi="宋体"/>
        </w:rPr>
        <w:t>市    报考岗位代码</w:t>
      </w:r>
      <w:r>
        <w:rPr>
          <w:rFonts w:ascii="宋体" w:hAnsi="宋体"/>
        </w:rPr>
        <w:t xml:space="preserve">_________    </w:t>
      </w:r>
      <w:r>
        <w:rPr>
          <w:rFonts w:hint="eastAsia" w:ascii="宋体" w:hAnsi="宋体"/>
        </w:rPr>
        <w:t>学段学科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 xml:space="preserve">     体检号</w:t>
      </w:r>
      <w:r>
        <w:rPr>
          <w:rFonts w:hint="eastAsia" w:ascii="宋体" w:hAnsi="宋体"/>
          <w:u w:val="single"/>
        </w:rPr>
        <w:t xml:space="preserve">       </w:t>
      </w: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</w:tbl>
    <w:p>
      <w:pPr>
        <w:widowControl/>
        <w:spacing w:line="240" w:lineRule="exact"/>
        <w:jc w:val="center"/>
        <w:rPr>
          <w:rFonts w:ascii="宋体" w:hAnsi="宋体"/>
        </w:rPr>
      </w:pP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 w:eastAsia="宋体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</w:rPr>
        <w:t>注：此表用A4纸正反打印。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5028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2810"/>
    <w:rsid w:val="00445E58"/>
    <w:rsid w:val="00567B8A"/>
    <w:rsid w:val="005F56BD"/>
    <w:rsid w:val="0071256C"/>
    <w:rsid w:val="0071334B"/>
    <w:rsid w:val="007F647E"/>
    <w:rsid w:val="0082348C"/>
    <w:rsid w:val="0082769B"/>
    <w:rsid w:val="00913168"/>
    <w:rsid w:val="00951CC0"/>
    <w:rsid w:val="00A83836"/>
    <w:rsid w:val="00CB6C0E"/>
    <w:rsid w:val="00D77E91"/>
    <w:rsid w:val="00D83BCC"/>
    <w:rsid w:val="00D90578"/>
    <w:rsid w:val="00EB092D"/>
    <w:rsid w:val="00EC5A1A"/>
    <w:rsid w:val="00FF231F"/>
    <w:rsid w:val="0354712C"/>
    <w:rsid w:val="0BA640D3"/>
    <w:rsid w:val="0DD84BA7"/>
    <w:rsid w:val="12553182"/>
    <w:rsid w:val="12C43F83"/>
    <w:rsid w:val="1C335F84"/>
    <w:rsid w:val="1D2F162C"/>
    <w:rsid w:val="1F9B47E0"/>
    <w:rsid w:val="211F4259"/>
    <w:rsid w:val="24F04C2B"/>
    <w:rsid w:val="2B8D23B5"/>
    <w:rsid w:val="2BD80A41"/>
    <w:rsid w:val="2D887E7E"/>
    <w:rsid w:val="379922BD"/>
    <w:rsid w:val="391B51E6"/>
    <w:rsid w:val="39622CAF"/>
    <w:rsid w:val="4FF12568"/>
    <w:rsid w:val="50CD6340"/>
    <w:rsid w:val="5CF36C87"/>
    <w:rsid w:val="5FCC4885"/>
    <w:rsid w:val="64615C84"/>
    <w:rsid w:val="64D21025"/>
    <w:rsid w:val="6FE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5443E1-2BE7-4148-B944-6AF731459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322</Words>
  <Characters>1836</Characters>
  <Lines>15</Lines>
  <Paragraphs>4</Paragraphs>
  <TotalTime>16</TotalTime>
  <ScaleCrop>false</ScaleCrop>
  <LinksUpToDate>false</LinksUpToDate>
  <CharactersWithSpaces>2154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Administrator</cp:lastModifiedBy>
  <cp:lastPrinted>2021-03-23T06:50:00Z</cp:lastPrinted>
  <dcterms:modified xsi:type="dcterms:W3CDTF">2021-03-23T09:04:31Z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