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40" w:lineRule="exact"/>
        <w:jc w:val="left"/>
        <w:textAlignment w:val="top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24"/>
          <w:szCs w:val="24"/>
        </w:rPr>
        <w:t>附件4：</w:t>
      </w:r>
    </w:p>
    <w:p>
      <w:pPr>
        <w:autoSpaceDN w:val="0"/>
        <w:spacing w:line="440" w:lineRule="exact"/>
        <w:jc w:val="center"/>
        <w:textAlignment w:val="top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宜兴市经济技术开发区实验小学招聘乡村教师材料考核评分表（试行）</w:t>
      </w:r>
    </w:p>
    <w:tbl>
      <w:tblPr>
        <w:tblStyle w:val="3"/>
        <w:tblW w:w="9469" w:type="dxa"/>
        <w:tblInd w:w="-9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64"/>
        <w:gridCol w:w="142"/>
        <w:gridCol w:w="708"/>
        <w:gridCol w:w="1134"/>
        <w:gridCol w:w="567"/>
        <w:gridCol w:w="426"/>
        <w:gridCol w:w="328"/>
        <w:gridCol w:w="947"/>
        <w:gridCol w:w="2127"/>
        <w:gridCol w:w="212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1" w:hRule="atLeast"/>
        </w:trPr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应聘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学段与学科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上限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佐证材料与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相关数值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得分要点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在乡村学校工作满3年（含）以下，不得分，自第4年起，每满1周年得0.5分。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6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年度考核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①合格得0.5分/次；②优秀得1分/次；③有一次合格以下，一票否决；其中新参加工作首年不考核。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1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县级新秀、能手、学科带头人分别得1分、2分、3分；市级新秀、能手、学科带头人、名教师（含省特级），分别得2分、3分、4分、5分。不累计得分。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获得县级、市级、省级综合先进，有一次分别得1分、1.5分、2分；获得对应级别单项先进（如教书育人标兵、美丽乡村教师、优秀党员等），分别得对应级别的50%。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教育教学竞赛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参加教育行政（教研）部门组织的课堂教学竞赛（不含公开课），县级一、二等奖，分别得2分/次、1分/次；市级一、二、三等奖，分别得3分/次、2分/次、1分/次；省级一、二、三等奖，分别得4分/次、3分/次、2分/次。</w:t>
            </w:r>
          </w:p>
          <w:p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dotted"/>
              </w:rPr>
              <w:t>学会性质组织的，在对应级别基础上按照50%计算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科研水平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县级、市级、省级科研课题（结题，1个课题只能计1次）领题人，分别得1分、2分、3分；参与者排名前5名分别得对应级别的50%；立项未结题的科研课题，得对应分的5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0%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县级、市级、省级论文发表，第一作者分别得0.5分、1分、1.5分；第二作者得对应分的50%。</w:t>
            </w:r>
          </w:p>
          <w:p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市级论文获一、二等奖，分别得0.5分/篇、0.3分/篇；市级论文获一、二、三等奖，分别得0.8分/篇、0.5分/篇、0.3分/篇；省级论文获一、二、三等奖，分别得1分/篇、0.8分/篇、0.5分/篇。（同一篇论文以最高获奖计算，论文获奖第二作者得对应分的50%）</w:t>
            </w:r>
          </w:p>
          <w:p>
            <w:pPr>
              <w:widowControl/>
              <w:topLinePunct/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dotted"/>
              </w:rPr>
              <w:t>学会性质组织的，在对应级别基础上按照50%计算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评委签名：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注：①该表为经开区实小招聘乡村教师材料测评打分表。</w:t>
      </w: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②对应项目应递交相关材料复印件。年度考核、荣誉称号、教育教学竞赛、科研水平限提供2019年1月1日至公告发布之日止材料，骨干称号材料不受年限限制。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BmNzY3MzkxNjRlMGE1YWVlMDVjMTVjNjBiN2YifQ=="/>
  </w:docVars>
  <w:rsids>
    <w:rsidRoot w:val="305A47C6"/>
    <w:rsid w:val="007D009C"/>
    <w:rsid w:val="00C24FAE"/>
    <w:rsid w:val="00FA36C7"/>
    <w:rsid w:val="305A47C6"/>
    <w:rsid w:val="696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823</Words>
  <Characters>865</Characters>
  <Lines>6</Lines>
  <Paragraphs>1</Paragraphs>
  <TotalTime>1</TotalTime>
  <ScaleCrop>false</ScaleCrop>
  <LinksUpToDate>false</LinksUpToDate>
  <CharactersWithSpaces>865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2024-06-18T02:25:00Z</dcterms:created>
  <dc:creator>心宽体胖</dc:creator>
  <cp:lastModifiedBy>梦之蓝</cp:lastModifiedBy>
  <dcterms:modified xsi:type="dcterms:W3CDTF">2024-06-18T10:39:00Z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3CA1F6EDE03E47A9B4B34863EF088121_13</vt:lpwstr>
  </property>
</Properties>
</file>