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both"/>
        <w:textAlignment w:val="center"/>
        <w:rPr>
          <w:rFonts w:hint="eastAsia"/>
          <w:color w:val="333333"/>
          <w:sz w:val="24"/>
          <w:szCs w:val="24"/>
        </w:rPr>
      </w:pPr>
      <w:bookmarkStart w:id="0" w:name="_GoBack"/>
      <w:bookmarkEnd w:id="0"/>
      <w:r>
        <w:rPr>
          <w:rFonts w:hint="eastAsia"/>
          <w:color w:val="333333"/>
          <w:sz w:val="24"/>
          <w:szCs w:val="24"/>
        </w:rPr>
        <w:t>附件2</w:t>
      </w:r>
    </w:p>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体  检  须  知</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4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4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keepNext w:val="0"/>
        <w:keepLines w:val="0"/>
        <w:pageBreakBefore w:val="0"/>
        <w:widowControl/>
        <w:kinsoku/>
        <w:wordWrap/>
        <w:overflowPunct/>
        <w:topLinePunct w:val="0"/>
        <w:autoSpaceDE/>
        <w:autoSpaceDN/>
        <w:bidi w:val="0"/>
        <w:spacing w:before="0" w:beforeAutospacing="0" w:afterLines="100" w:afterAutospacing="0" w:line="400" w:lineRule="exact"/>
        <w:ind w:firstLine="420"/>
        <w:jc w:val="left"/>
        <w:textAlignment w:val="center"/>
        <w:rPr>
          <w:rFonts w:hint="eastAsia" w:ascii="仿宋_GB2312" w:eastAsia="仿宋_GB2312"/>
          <w:color w:val="333333"/>
          <w:sz w:val="32"/>
          <w:szCs w:val="32"/>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keepNext w:val="0"/>
        <w:keepLines w:val="0"/>
        <w:pageBreakBefore w:val="0"/>
        <w:widowControl/>
        <w:kinsoku/>
        <w:wordWrap w:val="0"/>
        <w:overflowPunct/>
        <w:topLinePunct w:val="0"/>
        <w:autoSpaceDE/>
        <w:autoSpaceDN/>
        <w:bidi w:val="0"/>
        <w:spacing w:before="0" w:beforeAutospacing="0" w:afterLines="100" w:afterAutospacing="0" w:line="4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pPr>
        <w:pStyle w:val="6"/>
        <w:keepNext w:val="0"/>
        <w:keepLines w:val="0"/>
        <w:pageBreakBefore w:val="0"/>
        <w:widowControl/>
        <w:kinsoku/>
        <w:overflowPunct/>
        <w:topLinePunct w:val="0"/>
        <w:autoSpaceDE/>
        <w:autoSpaceDN/>
        <w:bidi w:val="0"/>
        <w:spacing w:before="0" w:beforeAutospacing="0" w:after="0" w:afterAutospacing="0" w:line="400" w:lineRule="exact"/>
        <w:ind w:firstLine="420"/>
        <w:jc w:val="right"/>
        <w:textAlignment w:val="center"/>
        <w:rPr>
          <w:rFonts w:ascii="宋体" w:hAnsi="宋体" w:eastAsia="宋体" w:cs="宋体"/>
          <w:color w:val="333333"/>
          <w:spacing w:val="8"/>
          <w:sz w:val="30"/>
          <w:szCs w:val="30"/>
          <w:shd w:val="clear" w:color="auto" w:fill="FFFFFF"/>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日</w:t>
      </w:r>
    </w:p>
    <w:sectPr>
      <w:pgSz w:w="11906" w:h="16838"/>
      <w:pgMar w:top="1043" w:right="1800" w:bottom="1043"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 w:name="KSO_WPS_MARK_KEY" w:val="3c9e5e3d-7965-4d5f-b1ce-a8f8dd369148"/>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AD03D5B"/>
    <w:rsid w:val="0BAD19C5"/>
    <w:rsid w:val="0D8E7657"/>
    <w:rsid w:val="0EA45D2C"/>
    <w:rsid w:val="100C7D09"/>
    <w:rsid w:val="104977C3"/>
    <w:rsid w:val="107026DE"/>
    <w:rsid w:val="12CC080E"/>
    <w:rsid w:val="1C5A58A5"/>
    <w:rsid w:val="1CCB0634"/>
    <w:rsid w:val="1E9F255E"/>
    <w:rsid w:val="210E39CB"/>
    <w:rsid w:val="2296594F"/>
    <w:rsid w:val="2377B927"/>
    <w:rsid w:val="25DE443B"/>
    <w:rsid w:val="25E036DD"/>
    <w:rsid w:val="269678DC"/>
    <w:rsid w:val="27A473E6"/>
    <w:rsid w:val="28905912"/>
    <w:rsid w:val="28BB3F52"/>
    <w:rsid w:val="2EAD47AF"/>
    <w:rsid w:val="2FAB7D1C"/>
    <w:rsid w:val="2FD933F6"/>
    <w:rsid w:val="34235F95"/>
    <w:rsid w:val="359D5188"/>
    <w:rsid w:val="3711468E"/>
    <w:rsid w:val="37B533BB"/>
    <w:rsid w:val="37D7C6D6"/>
    <w:rsid w:val="39252ADD"/>
    <w:rsid w:val="3A9956AF"/>
    <w:rsid w:val="3B1E49D6"/>
    <w:rsid w:val="3B2F3317"/>
    <w:rsid w:val="3C65251C"/>
    <w:rsid w:val="3E735255"/>
    <w:rsid w:val="421137F9"/>
    <w:rsid w:val="437454B8"/>
    <w:rsid w:val="460A5DDF"/>
    <w:rsid w:val="495F1E85"/>
    <w:rsid w:val="4C791B6C"/>
    <w:rsid w:val="4F0F07DB"/>
    <w:rsid w:val="52D431F3"/>
    <w:rsid w:val="58CB3EE0"/>
    <w:rsid w:val="59303847"/>
    <w:rsid w:val="59585C79"/>
    <w:rsid w:val="5AE42ACB"/>
    <w:rsid w:val="5C58499B"/>
    <w:rsid w:val="5D4B5720"/>
    <w:rsid w:val="5D746728"/>
    <w:rsid w:val="60DF4E13"/>
    <w:rsid w:val="610A5F84"/>
    <w:rsid w:val="612105D5"/>
    <w:rsid w:val="62914DAA"/>
    <w:rsid w:val="63A700C9"/>
    <w:rsid w:val="69233758"/>
    <w:rsid w:val="69C404D2"/>
    <w:rsid w:val="69FE701C"/>
    <w:rsid w:val="6A77C6F2"/>
    <w:rsid w:val="6B634408"/>
    <w:rsid w:val="6DDC5B55"/>
    <w:rsid w:val="6DEB5457"/>
    <w:rsid w:val="6F7630F8"/>
    <w:rsid w:val="6F9FA1BD"/>
    <w:rsid w:val="714123E4"/>
    <w:rsid w:val="71B704B9"/>
    <w:rsid w:val="750628C5"/>
    <w:rsid w:val="769D1980"/>
    <w:rsid w:val="76EA3AD3"/>
    <w:rsid w:val="78A3591C"/>
    <w:rsid w:val="7AF3AAEA"/>
    <w:rsid w:val="7EBB629E"/>
    <w:rsid w:val="7FD7A31D"/>
    <w:rsid w:val="933D94D2"/>
    <w:rsid w:val="9FFE3ABF"/>
    <w:rsid w:val="B5EB56BB"/>
    <w:rsid w:val="BDCE062D"/>
    <w:rsid w:val="CF0DD43D"/>
    <w:rsid w:val="DDFD7582"/>
    <w:rsid w:val="E35DCE2C"/>
    <w:rsid w:val="EBFF413B"/>
    <w:rsid w:val="ED4652B9"/>
    <w:rsid w:val="FBBDC4DE"/>
    <w:rsid w:val="FD5F1D53"/>
    <w:rsid w:val="FEF7DA0A"/>
    <w:rsid w:val="FF676E28"/>
    <w:rsid w:val="FFEEA75D"/>
    <w:rsid w:val="FFF96D54"/>
    <w:rsid w:val="FFFB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745</Words>
  <Characters>749</Characters>
  <Lines>22</Lines>
  <Paragraphs>6</Paragraphs>
  <TotalTime>8</TotalTime>
  <ScaleCrop>false</ScaleCrop>
  <LinksUpToDate>false</LinksUpToDate>
  <CharactersWithSpaces>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2017-07-05T15:28:00Z</dcterms:created>
  <dc:creator>XT365</dc:creator>
  <cp:lastModifiedBy>梦之蓝</cp:lastModifiedBy>
  <cp:lastPrinted>2024-07-03T08:01:00Z</cp:lastPrinted>
  <dcterms:modified xsi:type="dcterms:W3CDTF">2024-07-03T12:58:37Z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29694F6A082E4186AAC728A25052EB01_13</vt:lpwstr>
  </property>
</Properties>
</file>